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BC3663">
        <w:rPr>
          <w:rFonts w:ascii="NeoSansPro-Regular" w:hAnsi="NeoSansPro-Regular" w:cs="NeoSansPro-Regular"/>
          <w:color w:val="404040"/>
          <w:sz w:val="20"/>
          <w:szCs w:val="20"/>
        </w:rPr>
        <w:t>MARTIN HERNANDEZ VIDAÑA.</w:t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C3663">
        <w:rPr>
          <w:rFonts w:ascii="NeoSansPro-Regular" w:hAnsi="NeoSansPro-Regular" w:cs="NeoSansPro-Regular"/>
          <w:color w:val="404040"/>
          <w:sz w:val="20"/>
          <w:szCs w:val="20"/>
        </w:rPr>
        <w:t>MAESTRIA EN CIENCIAS POLITICAS Y SOCIALES DE LA UNIV</w:t>
      </w:r>
      <w:r w:rsidR="004638B0">
        <w:rPr>
          <w:rFonts w:ascii="NeoSansPro-Regular" w:hAnsi="NeoSansPro-Regular" w:cs="NeoSansPro-Regular"/>
          <w:color w:val="404040"/>
          <w:sz w:val="20"/>
          <w:szCs w:val="20"/>
        </w:rPr>
        <w:t>ERSIDAD DE LAS NACIONES DE LA C</w:t>
      </w:r>
      <w:r w:rsidR="00BC3663">
        <w:rPr>
          <w:rFonts w:ascii="NeoSansPro-Regular" w:hAnsi="NeoSansPro-Regular" w:cs="NeoSansPro-Regular"/>
          <w:color w:val="404040"/>
          <w:sz w:val="20"/>
          <w:szCs w:val="20"/>
        </w:rPr>
        <w:t>I</w:t>
      </w:r>
      <w:r w:rsidR="004638B0"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="00BC3663">
        <w:rPr>
          <w:rFonts w:ascii="NeoSansPro-Regular" w:hAnsi="NeoSansPro-Regular" w:cs="NeoSansPro-Regular"/>
          <w:color w:val="404040"/>
          <w:sz w:val="20"/>
          <w:szCs w:val="20"/>
        </w:rPr>
        <w:t>DAD DE PAPATLAN, VERACRUZ.</w:t>
      </w:r>
    </w:p>
    <w:p w:rsidR="00AB5916" w:rsidRPr="004D4C85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BC3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BC3663" w:rsidRPr="004D4C85">
        <w:rPr>
          <w:rFonts w:ascii="NeoSansPro-Regular" w:hAnsi="NeoSansPro-Regular" w:cs="NeoSansPro-Regular"/>
          <w:color w:val="404040"/>
          <w:sz w:val="20"/>
          <w:szCs w:val="20"/>
          <w:u w:val="single"/>
        </w:rPr>
        <w:t>2703805</w:t>
      </w:r>
    </w:p>
    <w:p w:rsidR="00AB5916" w:rsidRPr="004D4C85" w:rsidRDefault="00BC3663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(Maestría): </w:t>
      </w:r>
      <w:r w:rsidRPr="004D4C85"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  <w:t>TRAMITE</w:t>
      </w:r>
      <w:r w:rsidRPr="004D4C85"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BC3663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E27EB6" w:rsidRPr="004D4C85"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  <w:t>924 24 5 52 77</w:t>
      </w:r>
    </w:p>
    <w:p w:rsidR="00AB5916" w:rsidRPr="004D4C85" w:rsidRDefault="00BC3663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Electrónico: </w:t>
      </w:r>
      <w:r w:rsidRPr="004D4C85">
        <w:rPr>
          <w:rFonts w:ascii="NeoSansPro-Bold" w:hAnsi="NeoSansPro-Bold" w:cs="NeoSansPro-Bold"/>
          <w:bCs/>
          <w:color w:val="404040"/>
          <w:sz w:val="20"/>
          <w:szCs w:val="20"/>
          <w:u w:val="single"/>
        </w:rPr>
        <w:t>martin2ver@hotmail.com</w:t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E27E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  <w:r w:rsidR="004D4C85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</w:p>
    <w:p w:rsidR="00AB5916" w:rsidRDefault="004D4C85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Educación propedéutica en la Universidad Veracruzana realizada en la ciudad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D4C85" w:rsidRDefault="004D4C85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1985-1989</w:t>
      </w:r>
    </w:p>
    <w:p w:rsidR="004D4C85" w:rsidRDefault="004D4C85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 de la Ciudad de Xalapa, Veracruz, estudio Licenciatura en Derecho.</w:t>
      </w:r>
    </w:p>
    <w:p w:rsidR="004D4C85" w:rsidRDefault="004D4C85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4D4C85" w:rsidRDefault="004638B0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4D4C85">
        <w:rPr>
          <w:rFonts w:ascii="NeoSansPro-Regular" w:hAnsi="NeoSansPro-Regular" w:cs="NeoSansPro-Regular"/>
          <w:color w:val="404040"/>
          <w:sz w:val="20"/>
          <w:szCs w:val="20"/>
        </w:rPr>
        <w:t xml:space="preserve"> en Ciencias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Jurídicas</w:t>
      </w:r>
      <w:r w:rsidR="004D4C85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Sociales</w:t>
      </w:r>
      <w:r w:rsidR="004D4C85">
        <w:rPr>
          <w:rFonts w:ascii="NeoSansPro-Regular" w:hAnsi="NeoSansPro-Regular" w:cs="NeoSansPro-Regular"/>
          <w:color w:val="404040"/>
          <w:sz w:val="20"/>
          <w:szCs w:val="20"/>
        </w:rPr>
        <w:t xml:space="preserve"> en la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4D4C85">
        <w:rPr>
          <w:rFonts w:ascii="NeoSansPro-Regular" w:hAnsi="NeoSansPro-Regular" w:cs="NeoSansPro-Regular"/>
          <w:color w:val="404040"/>
          <w:sz w:val="20"/>
          <w:szCs w:val="20"/>
        </w:rPr>
        <w:t xml:space="preserve"> de las Naciones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Papantla, Veracruz</w:t>
      </w:r>
      <w:r w:rsidR="00A5061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5061D" w:rsidRDefault="00A5061D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A5061D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</w:p>
    <w:p w:rsidR="00D617EB" w:rsidRPr="00A5061D" w:rsidRDefault="00D617EB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Juzgado Primero de Distrito en la ciudad de Xalapa, como meritorio y por el tiempo de seis meses.</w:t>
      </w:r>
    </w:p>
    <w:p w:rsidR="00D617EB" w:rsidRPr="00A5061D" w:rsidRDefault="00D617EB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Departamento Jurídico de la Policía Judicial en el estado de Veracruz, en la sección de amparos y ordenes de aprehensión. 1 año.</w:t>
      </w:r>
    </w:p>
    <w:p w:rsidR="00D617EB" w:rsidRPr="00A5061D" w:rsidRDefault="00D617EB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Procuraduría federal del consumidor en la delegación Veracruz, córdoba Tuxpan y la ciudad de Coatzacoalcos, por el tiempo de 5 años. con nombramiento de jefe de inspectores.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Bufete Jurídico E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specializado en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asuntos 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enales y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Civiles en la 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alapa por el tiempo de dos años.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B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ufete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Abogados y G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estores asociados laborando para las aseguradoras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MONTERREY ATENÍA S.A. DE C.V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.”, “multiasistencia”,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Bancomer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” y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Tepeyac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”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Agente del 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PúblicoMóvil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6 meses.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Agente Quinto del 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 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nve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stigador 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dscrito a los hospitales civil y cem y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3 meses.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único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 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nvestigador en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erote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 Zona Centro de la 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2 años.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único del 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nvestigador en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Ciudad de Jalacingo 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 Zona 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 año 6 meses.</w:t>
      </w:r>
    </w:p>
    <w:p w:rsidR="00D617EB" w:rsidRPr="00A5061D" w:rsidRDefault="008740C8" w:rsidP="00A506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Séptimo del Ministerio 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ublico investigador en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 año 3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lastRenderedPageBreak/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único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del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Mi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 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nvestigador en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Naolinco de Victoria, Veracruz,A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2 años 6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Agente Q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uinto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Ministerio 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ublico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nvestigador en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Xalapa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11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Agente 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egundo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ublico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nvestigador en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regional zona centro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 año y 5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egundo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investigador en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Papantla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regional zona norte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Tuxpan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2 año y 2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gente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egundo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inisterio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Público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investigador en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Acayucan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adscrito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subprocuraduría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regional zona sur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Coatzacoalcos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 año y 7 meses.</w:t>
      </w:r>
    </w:p>
    <w:p w:rsidR="00D617EB" w:rsidRPr="00A5061D" w:rsidRDefault="008740C8" w:rsidP="00A5061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Fiscal de D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istrito de la unidad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Integral de P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rocuración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Justicia del Di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strito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XX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en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Acayucan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adscrito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a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fiscalía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regional zona sur de la ciudad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Coatzacoalcos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1 año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3 Meses</w:t>
      </w:r>
      <w:r w:rsidR="00D617EB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AB5916" w:rsidRPr="00A5061D" w:rsidRDefault="004638B0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1998</w:t>
      </w:r>
    </w:p>
    <w:p w:rsidR="00AB5916" w:rsidRPr="00A5061D" w:rsidRDefault="004638B0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Constancia de la Procuraduría General de Justicia en el Estado de Veracruz, “CURSO INTRODUCTORIO A LA FORMACION INICIAL PARA AGENTES DEL MINISTERIO PUBLICO MOVILES.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1999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Reconocimiento otorgado por el Procurador de Justicia por mi trayectoria a favor de la Institución.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1999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Diploma de la Procuraduría General de Justicia en el Estado de Veracruz, por haber acreditado 13 materias en el curso de actualización para agentes del Ministerio Publico.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1999</w:t>
      </w:r>
    </w:p>
    <w:p w:rsidR="004638B0" w:rsidRPr="00A5061D" w:rsidRDefault="004638B0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Constancia de la Universidad Veracruzana y de la Procuraduría General de Justicia en el Estado de Veracruz, por asistir al ciclo de Conferencias sobre “CRIMINOLOGIA Y POLITICA PENITENCIARIA” en la ciudad de Xalapa y Boca del Rio, Veracruz.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2000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Reconocimiento del Sistema Nacional de Seguridad Publica a través de su academia Nacional, por la participación en el programa Nacional de evaluación, certificación y capacitación del personal encargado de la Procuración de Justicia.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2000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Diploma de la Procuraduría General de Justicia del Estado de Veracruz por la participación en el curso “INVESTIGACION CRIMINAL E INVESTIGACION DE SECUESTROS” impartido por el mayor Pedro López Calvo, Subdirector de la Escuela Seccional de Medellín en Bogotá, Colombia.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2001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Constancia por asistir a la conferencia magisterial “LAS BASES DE LA IMPUTACION PENAL” en la Ciudad de Teziutlán, Puebla.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A5061D"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  <w:t>2001</w:t>
      </w:r>
    </w:p>
    <w:p w:rsidR="00F8723C" w:rsidRPr="00A5061D" w:rsidRDefault="00F8723C" w:rsidP="00A5061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</w:pPr>
      <w:r w:rsidRPr="00A5061D">
        <w:rPr>
          <w:rFonts w:ascii="NeoSansPro-Regular" w:hAnsi="NeoSansPro-Regular" w:cs="NeoSansPro-Regular"/>
          <w:color w:val="595959" w:themeColor="text1" w:themeTint="A6"/>
          <w:sz w:val="20"/>
          <w:szCs w:val="20"/>
        </w:rPr>
        <w:t>Nombramiento del Consejo Municipal de Seguridad Publica en Jalacingo, Veracruz, firmado por el Licenciado Alejandro Montano Guzmán, secretario de Seguridad Pública en ese entonces.</w:t>
      </w:r>
    </w:p>
    <w:p w:rsidR="00F8723C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2002</w:t>
      </w:r>
    </w:p>
    <w:p w:rsidR="004638B0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Asistencia al curso “LA PARTICIPACIÓN CIUDADANA EN EL PROGRAMA DE PREVENCIÓN DEL DELITO”.</w:t>
      </w:r>
    </w:p>
    <w:p w:rsidR="00A5061D" w:rsidRPr="00A5061D" w:rsidRDefault="00A5061D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</w:p>
    <w:p w:rsidR="00A5061D" w:rsidRPr="00A5061D" w:rsidRDefault="00A5061D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</w:p>
    <w:p w:rsidR="00A5061D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2002.</w:t>
      </w:r>
    </w:p>
    <w:p w:rsidR="004638B0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Asistencia al curso “SEGUNDA REUNIÓN REGIONAL ZONA CENTRO XALAPA PARA OPTIMIZAR EL FUNCIONAMIENTO DEL MINISTERIO PÚBLICO”.</w:t>
      </w:r>
    </w:p>
    <w:p w:rsidR="00D617EB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2002.</w:t>
      </w:r>
    </w:p>
    <w:p w:rsidR="004638B0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Asistencia al curso “CAMINEMOS SIN VIOLENCIA” en la presentación del programa estatal de la no violencia hacia las mujeres veracruzanas.</w:t>
      </w:r>
    </w:p>
    <w:p w:rsidR="00D617EB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2003</w:t>
      </w:r>
    </w:p>
    <w:p w:rsidR="004638B0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Constancia de la procuraduría general de justicia en el estado de Veracruz y del órgano de fiscalización superior, por participar en el taller titulado “REFORMA A LA LEY DE FISCALIZACION”, impartido por el C.P. Rene Mariani Ochoa, Auditor general del ORFIS.</w:t>
      </w:r>
    </w:p>
    <w:p w:rsidR="00D617EB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2003</w:t>
      </w:r>
    </w:p>
    <w:p w:rsidR="004638B0" w:rsidRPr="00A5061D" w:rsidRDefault="00D617EB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Reconocimiento de la Procuraduría General de Justicia en el Estado de Veracruz y del centro de formación profesional por participar en el curso denominado “CAPACITACIÓN Y ACTUALIZACIÓN EN IDENTIFICACIÓN DE PAPEL MONEDA NACIONAL Y EXTRANJERA”.</w:t>
      </w:r>
    </w:p>
    <w:p w:rsidR="008740C8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2005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Diploma de la 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rocuraduría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General de Justicia del Estado de V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eracruz por la participación en el curso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“DETECCIÓN E IDENTIFICACIÓN DE VEHICULOS AUTOMOTORES ROBADOS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2006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onstancia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ecretaria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S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eguridad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Pública y la Subsecretaria de Seguridad 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ública a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través de la Dirección 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cademia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statal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PolicíaE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stado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Veracruz,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por la participación en el curso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TECNICAS PREVENTIVAS DEL SECUESTRO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2008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Reconocimiento de la Procuraduría General de Justicia del 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stado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Veracruz, Procuraduría 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República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rocuraduría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General de J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usticia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Distrito F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ederal, del instituto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formación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profesional y la academia de ciencias penales, por la participación y asistencia al foro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LOS ESTADOS ANTE LA REFORMA CONSTITUCIONAL EN MATERIA PENAL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2008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Constancia de la Procuraduría 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República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, por participar en el curso titulado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TECNICAS DE LA ENTREVISTA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2008</w:t>
      </w:r>
    </w:p>
    <w:p w:rsidR="004638B0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onstancia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rocuraduría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J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usticia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stado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Procuraduría General de Justicia del Distrito F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ederal, del instituto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formación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profesional, por la participación en el curso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teórico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practico intitulado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REFORMA CONSTITUCIONAL E IMPLEMENTACION DE LOS JUICIOS ORALES EN EL ESTADO DE VERACRUZ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2008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CERTIFICATE OF ACHIEVEMENT del departamento de J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usticia de los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Estados U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nidos por haber terminado satisfactoriamente el curso denominado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DROGAS E INVESTIGACION CRIMINAL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2008</w:t>
      </w:r>
    </w:p>
    <w:p w:rsidR="006D1756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Reconocimiento de la Universidad V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eracruzana y del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Instituto de Me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dicina forense, por la participación y asistencia a la mesa de trabajo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EDUCACIÓN Y NORMATIVIDAD JURIDICA EN EL MARCO DE LA VIOLENCIA INTRAFAMILIAR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”. 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2009</w:t>
      </w:r>
    </w:p>
    <w:p w:rsidR="004638B0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lastRenderedPageBreak/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Procuraduría 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J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usticia en el curso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DONACIÓN DE ÓRGANOS Y TEJIDOS EN FINES DE TRASPLANTE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”.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2009</w:t>
      </w:r>
    </w:p>
    <w:p w:rsidR="004638B0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participación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de aprovechamiento y conclusión del segundo curso de capacitación para agentes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Ministerio 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úblico de la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Procuraduría General de J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usticia.</w:t>
      </w:r>
    </w:p>
    <w:p w:rsidR="006D1756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2009</w:t>
      </w:r>
    </w:p>
    <w:p w:rsidR="004638B0" w:rsidRPr="00A5061D" w:rsidRDefault="006D1756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econocimiento por el apoyo y disposición durante el desarrollo del proyecto “</w:t>
      </w:r>
      <w:r w:rsidR="008A0542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CARACTERIZACIÓN DEL MALTRATO FAMILIAR EN EL DISTRITO JUDICIAL VERACRUZ-BOCA DEL RÍO Y PROPUESTA PARA LA CREACIÓN DE UN MÓDULO UNIVERSITARIO MULTIDISCIPLINARIO DE APOYO, PREVENCIÓN Y MANEJO ESPECIALIZADO EN LOS CASOS DEL MALTRATO FAMILIAR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”</w:t>
      </w:r>
    </w:p>
    <w:p w:rsidR="008A0542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2009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participación en las conferencias, talleres y mesa redonda del tercer congreso de ciencias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forense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investigacióncriminológica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2009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participación como ponente del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módulo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LEGISLACIÓN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” en el marco del diplomado en toxicología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forense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8A0542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2010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la destacada labor como representante social en el estado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/>
          <w:bCs/>
          <w:color w:val="595959" w:themeColor="text1" w:themeTint="A6"/>
          <w:sz w:val="20"/>
          <w:szCs w:val="20"/>
          <w:lang w:val="es-ES" w:eastAsia="es-ES"/>
        </w:rPr>
        <w:t>2010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econocimiento por participación aprovechamiento y conclusión del tercer curso de ca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pacitación para personal de la P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rocuraduría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G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eneral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Justicia, Vi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alidad y aprovecha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do por la Academia Nacional de S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eguridad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Pública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2010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asistencia al primer foro regional de consulta pública para la implementación del sistema de justicia penal en el estado de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Veracruz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.</w:t>
      </w:r>
    </w:p>
    <w:p w:rsidR="008A0542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2010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participación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aprovechamiento y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conclusión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del curso de capacitación en el sistema acusatorio y juicio oral.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2012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econocimiento por su asistencia y participación en la segunda jornada de capacitación en materia de delitos electorales.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2013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asistencia al curso de capacitación en el sistema penal acusatorio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Adversarial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y oral.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2013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econocimiento por su valiosa asistencia al curso “la reforma del artículo 1°   constitucional y sus implicaciones”.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2013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econocimiento por su valiosa asistencia al curso taller “juicios orales para jueces de control y de juicio oral”.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2014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haber asistido al curso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teórico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practico “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ANÁLISIS DEL PROCEDIMIENTO TÉCNICO Y LEGAL Y CASO DE DONACIÓN DE ÓRGANOS, TEJIDOS Y CÉLULAS PARA TRASPLANTE Y LA PARTICIPACIÓN DEL MINISTERIO PÚBLICO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”.</w:t>
      </w:r>
    </w:p>
    <w:p w:rsidR="008A0542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2014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haber asistido al curso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proceso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penal acusatorio.</w:t>
      </w:r>
    </w:p>
    <w:p w:rsidR="008A0542" w:rsidRPr="00A5061D" w:rsidRDefault="008740C8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2014</w:t>
      </w:r>
    </w:p>
    <w:p w:rsidR="004638B0" w:rsidRPr="00A5061D" w:rsidRDefault="008A0542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R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econocimiento por su participación en el primer taller de juicio oral, </w:t>
      </w:r>
      <w:r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>teórico</w:t>
      </w:r>
      <w:r w:rsidR="008740C8" w:rsidRPr="00A5061D"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  <w:t xml:space="preserve"> practico.</w:t>
      </w:r>
    </w:p>
    <w:p w:rsidR="00A5061D" w:rsidRPr="00A5061D" w:rsidRDefault="00A5061D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</w:p>
    <w:p w:rsidR="00A5061D" w:rsidRPr="00A5061D" w:rsidRDefault="00A5061D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color w:val="595959" w:themeColor="text1" w:themeTint="A6"/>
          <w:sz w:val="20"/>
          <w:szCs w:val="20"/>
          <w:lang w:val="es-ES" w:eastAsia="es-ES"/>
        </w:rPr>
      </w:pPr>
    </w:p>
    <w:p w:rsidR="00A5061D" w:rsidRDefault="00A5061D" w:rsidP="00A5061D">
      <w:pPr>
        <w:spacing w:after="0" w:line="240" w:lineRule="auto"/>
        <w:jc w:val="both"/>
        <w:rPr>
          <w:rFonts w:ascii="Neo Sans Pro" w:eastAsia="Times New Roman" w:hAnsi="Neo Sans Pro" w:cs="Times New Roman"/>
          <w:bCs/>
          <w:sz w:val="20"/>
          <w:szCs w:val="20"/>
          <w:lang w:val="es-ES" w:eastAsia="es-ES"/>
        </w:rPr>
      </w:pPr>
    </w:p>
    <w:p w:rsidR="00A5061D" w:rsidRDefault="00A5061D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A0542" w:rsidRDefault="00E378B0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E378B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5061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5061D" w:rsidRDefault="00AB5916" w:rsidP="00A5061D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p w:rsidR="008A0542" w:rsidRDefault="008A0542" w:rsidP="00A5061D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A0542" w:rsidRDefault="008A0542" w:rsidP="00A5061D">
      <w:pPr>
        <w:spacing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Constitucional </w:t>
      </w:r>
    </w:p>
    <w:p w:rsidR="008A0542" w:rsidRDefault="008A0542" w:rsidP="00A5061D">
      <w:pPr>
        <w:spacing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sectPr w:rsidR="008A0542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28" w:rsidRDefault="003C2628" w:rsidP="00AB5916">
      <w:pPr>
        <w:spacing w:after="0" w:line="240" w:lineRule="auto"/>
      </w:pPr>
      <w:r>
        <w:separator/>
      </w:r>
    </w:p>
  </w:endnote>
  <w:endnote w:type="continuationSeparator" w:id="1">
    <w:p w:rsidR="003C2628" w:rsidRDefault="003C262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28" w:rsidRDefault="003C2628" w:rsidP="00AB5916">
      <w:pPr>
        <w:spacing w:after="0" w:line="240" w:lineRule="auto"/>
      </w:pPr>
      <w:r>
        <w:separator/>
      </w:r>
    </w:p>
  </w:footnote>
  <w:footnote w:type="continuationSeparator" w:id="1">
    <w:p w:rsidR="003C2628" w:rsidRDefault="003C262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451"/>
    <w:multiLevelType w:val="hybridMultilevel"/>
    <w:tmpl w:val="A7F62E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5129B"/>
    <w:multiLevelType w:val="hybridMultilevel"/>
    <w:tmpl w:val="0D84BB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12BB3"/>
    <w:rsid w:val="00196774"/>
    <w:rsid w:val="00304E91"/>
    <w:rsid w:val="003C2628"/>
    <w:rsid w:val="00462C41"/>
    <w:rsid w:val="004638B0"/>
    <w:rsid w:val="004A1170"/>
    <w:rsid w:val="004B2D6E"/>
    <w:rsid w:val="004D4C85"/>
    <w:rsid w:val="004E38BB"/>
    <w:rsid w:val="004E4FFA"/>
    <w:rsid w:val="00503671"/>
    <w:rsid w:val="005502F5"/>
    <w:rsid w:val="005A32B3"/>
    <w:rsid w:val="00600D12"/>
    <w:rsid w:val="006B643A"/>
    <w:rsid w:val="006D1756"/>
    <w:rsid w:val="00726727"/>
    <w:rsid w:val="008740C8"/>
    <w:rsid w:val="008A0542"/>
    <w:rsid w:val="00971A96"/>
    <w:rsid w:val="00A5061D"/>
    <w:rsid w:val="00A66637"/>
    <w:rsid w:val="00AA0DBB"/>
    <w:rsid w:val="00AB5916"/>
    <w:rsid w:val="00BC3663"/>
    <w:rsid w:val="00CE7F12"/>
    <w:rsid w:val="00D03386"/>
    <w:rsid w:val="00D617EB"/>
    <w:rsid w:val="00DB2FA1"/>
    <w:rsid w:val="00DE2E01"/>
    <w:rsid w:val="00E27EB6"/>
    <w:rsid w:val="00E378B0"/>
    <w:rsid w:val="00E71AD8"/>
    <w:rsid w:val="00E863CF"/>
    <w:rsid w:val="00F8723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unhideWhenUsed/>
    <w:rsid w:val="004D4C8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D4C85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50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3BA1-097A-435D-9715-140FB1FB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1496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2017-03-06T18:54:00Z</dcterms:created>
  <dcterms:modified xsi:type="dcterms:W3CDTF">2017-06-21T17:38:00Z</dcterms:modified>
</cp:coreProperties>
</file>